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60357C">
        <w:rPr>
          <w:szCs w:val="24"/>
        </w:rPr>
        <w:t>porcelanato técnico</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item </w:t>
      </w:r>
      <w:r w:rsidR="0060357C">
        <w:rPr>
          <w:szCs w:val="24"/>
        </w:rPr>
        <w:t>6907.21.00</w:t>
      </w:r>
      <w:r w:rsidR="0044145F" w:rsidRPr="00BA7B70">
        <w:rPr>
          <w:szCs w:val="24"/>
        </w:rPr>
        <w:t xml:space="preserve"> da Nomenclatura Comum do Mercosul – NCM, originárias d</w:t>
      </w:r>
      <w:r w:rsidR="0060357C">
        <w:rPr>
          <w:szCs w:val="24"/>
        </w:rPr>
        <w:t>a China</w:t>
      </w:r>
      <w:r w:rsidR="0044145F"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Processo Administrativo SECEX</w:t>
      </w:r>
      <w:r w:rsidR="00370D05">
        <w:rPr>
          <w:szCs w:val="24"/>
        </w:rPr>
        <w:t xml:space="preserve"> 52272.003657/2019-41</w:t>
      </w:r>
    </w:p>
    <w:p w:rsidR="00232BA2"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A51573">
        <w:rPr>
          <w:szCs w:val="24"/>
        </w:rPr>
        <w:t>7770</w:t>
      </w:r>
      <w:r w:rsidR="00370D05">
        <w:rPr>
          <w:szCs w:val="24"/>
        </w:rPr>
        <w:t xml:space="preserve"> ou </w:t>
      </w:r>
      <w:hyperlink r:id="rId10" w:history="1">
        <w:r w:rsidR="00232BA2" w:rsidRPr="00D226D3">
          <w:rPr>
            <w:rStyle w:val="Hyperlink"/>
            <w:szCs w:val="24"/>
          </w:rPr>
          <w:t>porcelanatorev@mdic.gov.br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 xml:space="preserve">revisão da medida antidumping aplicada sobre as importações de </w:t>
      </w:r>
      <w:r w:rsidR="00531A7F" w:rsidRPr="00461CE4">
        <w:rPr>
          <w:szCs w:val="24"/>
        </w:rPr>
        <w:t>porcelanato técnico,</w:t>
      </w:r>
      <w:r w:rsidR="00531A7F" w:rsidRPr="00461CE4">
        <w:rPr>
          <w:color w:val="FF0000"/>
          <w:szCs w:val="24"/>
        </w:rPr>
        <w:t xml:space="preserve"> </w:t>
      </w:r>
      <w:r w:rsidR="00531A7F" w:rsidRPr="00461CE4">
        <w:rPr>
          <w:szCs w:val="24"/>
        </w:rPr>
        <w:t>comumente classificado no item 6907.21.00 da Nomenclatura Comum do Mercosul – NCM, originári</w:t>
      </w:r>
      <w:r w:rsidR="00531A7F">
        <w:rPr>
          <w:szCs w:val="24"/>
        </w:rPr>
        <w:t>o</w:t>
      </w:r>
      <w:r w:rsidR="00531A7F" w:rsidRPr="00461CE4">
        <w:rPr>
          <w:szCs w:val="24"/>
        </w:rPr>
        <w:t xml:space="preserve"> da China,</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161F2B" w:rsidRPr="00037C6A" w:rsidRDefault="00427F90" w:rsidP="00161F2B">
      <w:pPr>
        <w:jc w:val="both"/>
        <w:rPr>
          <w:szCs w:val="24"/>
        </w:rPr>
      </w:pPr>
      <w:r w:rsidRPr="00BA7B70">
        <w:rPr>
          <w:b/>
          <w:szCs w:val="24"/>
        </w:rPr>
        <w:t>i)</w:t>
      </w:r>
      <w:r w:rsidRPr="00BA7B70">
        <w:rPr>
          <w:b/>
          <w:color w:val="FF0000"/>
          <w:szCs w:val="24"/>
        </w:rPr>
        <w:tab/>
      </w:r>
      <w:r w:rsidR="00161F2B" w:rsidRPr="00C01D4D">
        <w:rPr>
          <w:b/>
          <w:szCs w:val="24"/>
        </w:rPr>
        <w:t>Porcelanato Técnico</w:t>
      </w:r>
      <w:r w:rsidR="00161F2B" w:rsidRPr="00C01D4D">
        <w:rPr>
          <w:szCs w:val="24"/>
        </w:rPr>
        <w:t xml:space="preserve">, </w:t>
      </w:r>
      <w:r w:rsidR="00161F2B" w:rsidRPr="00037C6A">
        <w:rPr>
          <w:szCs w:val="24"/>
        </w:rPr>
        <w:t>comumente classificado no item</w:t>
      </w:r>
      <w:r w:rsidR="00161F2B">
        <w:rPr>
          <w:szCs w:val="24"/>
        </w:rPr>
        <w:t xml:space="preserve"> 6907.21.00 </w:t>
      </w:r>
      <w:r w:rsidR="00161F2B" w:rsidRPr="00037C6A">
        <w:rPr>
          <w:szCs w:val="24"/>
        </w:rPr>
        <w:t>da NCM, exportado d</w:t>
      </w:r>
      <w:r w:rsidR="00161F2B">
        <w:rPr>
          <w:szCs w:val="24"/>
        </w:rPr>
        <w:t>a China</w:t>
      </w:r>
      <w:r w:rsidR="00161F2B" w:rsidRPr="00037C6A">
        <w:rPr>
          <w:b/>
          <w:bCs/>
        </w:rPr>
        <w:t xml:space="preserve"> </w:t>
      </w:r>
      <w:r w:rsidR="00161F2B" w:rsidRPr="00037C6A">
        <w:rPr>
          <w:szCs w:val="24"/>
        </w:rPr>
        <w:t>para o Brasil.</w:t>
      </w:r>
    </w:p>
    <w:p w:rsidR="00161F2B" w:rsidRPr="00037C6A" w:rsidRDefault="00161F2B" w:rsidP="00161F2B">
      <w:pPr>
        <w:jc w:val="both"/>
        <w:rPr>
          <w:szCs w:val="24"/>
        </w:rPr>
      </w:pPr>
    </w:p>
    <w:p w:rsidR="00255885" w:rsidRPr="00A51573" w:rsidRDefault="00255885" w:rsidP="00255885">
      <w:pPr>
        <w:jc w:val="both"/>
        <w:rPr>
          <w:iCs/>
          <w:szCs w:val="24"/>
        </w:rPr>
      </w:pPr>
      <w:r w:rsidRPr="00A51573">
        <w:rPr>
          <w:iCs/>
          <w:szCs w:val="24"/>
        </w:rPr>
        <w:t>Os porcelanatos técnicos são revestimentos de formulação complexa resultantes da mistura de argila e outras matérias-primas inorgânicas, que são moídas, prensadas e submetidas a processo de queima diferenciada sob altas temperaturas, superiores a 1,2 mil graus Celsius. O resultado é um revestimento com índices praticamente nulos de absorção de água e com elevada resistência mecânica a variações térmicas e à ação de produtos químicos. Seu índice de absorção de água deve ser igual ou menor que 0,1%.</w:t>
      </w:r>
    </w:p>
    <w:p w:rsidR="00255885" w:rsidRPr="00A51573" w:rsidRDefault="00255885" w:rsidP="00255885">
      <w:pPr>
        <w:jc w:val="both"/>
        <w:rPr>
          <w:iCs/>
          <w:szCs w:val="24"/>
        </w:rPr>
      </w:pPr>
    </w:p>
    <w:p w:rsidR="00255885" w:rsidRPr="00A51573" w:rsidRDefault="00255885" w:rsidP="00255885">
      <w:pPr>
        <w:jc w:val="both"/>
        <w:rPr>
          <w:iCs/>
          <w:color w:val="000000"/>
          <w:szCs w:val="24"/>
        </w:rPr>
      </w:pPr>
      <w:r w:rsidRPr="00A51573">
        <w:rPr>
          <w:iCs/>
          <w:color w:val="000000"/>
          <w:szCs w:val="24"/>
        </w:rPr>
        <w:t>O porcelanato técnico pode ser polido (recebe polimento mecânico) ou ser vendido sem polimento (natural), possui colorações diversas, resistência superior a 45 MPa (</w:t>
      </w:r>
      <w:proofErr w:type="spellStart"/>
      <w:r w:rsidRPr="00A51573">
        <w:rPr>
          <w:iCs/>
          <w:color w:val="000000"/>
          <w:szCs w:val="24"/>
        </w:rPr>
        <w:t>Mega</w:t>
      </w:r>
      <w:proofErr w:type="spellEnd"/>
      <w:r w:rsidRPr="00A51573">
        <w:rPr>
          <w:iCs/>
          <w:color w:val="000000"/>
          <w:szCs w:val="24"/>
        </w:rPr>
        <w:t xml:space="preserve"> Pascal) e variadas dimensões.</w:t>
      </w:r>
    </w:p>
    <w:p w:rsidR="00255885" w:rsidRPr="00A51573" w:rsidRDefault="00255885" w:rsidP="00255885">
      <w:pPr>
        <w:jc w:val="both"/>
        <w:rPr>
          <w:iCs/>
          <w:color w:val="000000"/>
          <w:szCs w:val="24"/>
        </w:rPr>
      </w:pPr>
    </w:p>
    <w:p w:rsidR="00255885" w:rsidRPr="00037C6A" w:rsidRDefault="00255885" w:rsidP="00255885">
      <w:pPr>
        <w:jc w:val="both"/>
        <w:rPr>
          <w:szCs w:val="24"/>
        </w:rPr>
      </w:pPr>
      <w:r w:rsidRPr="00A51573">
        <w:rPr>
          <w:szCs w:val="24"/>
        </w:rPr>
        <w:t>O porcelanato técnico é um produto utilizado para revestimento de pisos e paredes de áreas internas e externas, ambientes úmidos ou secos. Ademais, por possuir total estabilidade de cores e praticamente ausência de expansão por umidade, ele se torna revestimento adequado para uso em fachadas.</w:t>
      </w:r>
    </w:p>
    <w:p w:rsidR="00161F2B" w:rsidRPr="00037C6A" w:rsidRDefault="00161F2B" w:rsidP="00161F2B">
      <w:pPr>
        <w:jc w:val="both"/>
        <w:rPr>
          <w:szCs w:val="24"/>
        </w:rPr>
      </w:pPr>
    </w:p>
    <w:p w:rsidR="00161F2B" w:rsidRPr="00037C6A" w:rsidRDefault="00161F2B" w:rsidP="00161F2B">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161F2B" w:rsidRPr="00037C6A" w:rsidRDefault="00161F2B" w:rsidP="00161F2B">
      <w:pPr>
        <w:tabs>
          <w:tab w:val="num" w:pos="0"/>
        </w:tabs>
        <w:jc w:val="both"/>
        <w:rPr>
          <w:szCs w:val="24"/>
        </w:rPr>
      </w:pPr>
    </w:p>
    <w:p w:rsidR="00161F2B" w:rsidRPr="00037C6A" w:rsidRDefault="00161F2B" w:rsidP="00161F2B">
      <w:pPr>
        <w:ind w:left="1080"/>
        <w:jc w:val="both"/>
        <w:rPr>
          <w:b/>
          <w:szCs w:val="24"/>
        </w:rPr>
      </w:pPr>
      <w:r>
        <w:rPr>
          <w:szCs w:val="24"/>
        </w:rPr>
        <w:t>A</w:t>
      </w:r>
      <w:r w:rsidRPr="00877ACE">
        <w:rPr>
          <w:szCs w:val="24"/>
        </w:rPr>
        <w:t xml:space="preserve">bril de 2014 </w:t>
      </w:r>
      <w:r w:rsidRPr="00037C6A">
        <w:rPr>
          <w:szCs w:val="24"/>
        </w:rPr>
        <w:t xml:space="preserve">a </w:t>
      </w:r>
      <w:r>
        <w:rPr>
          <w:szCs w:val="24"/>
        </w:rPr>
        <w:t xml:space="preserve">março </w:t>
      </w:r>
      <w:r w:rsidRPr="00037C6A">
        <w:rPr>
          <w:szCs w:val="24"/>
        </w:rPr>
        <w:t xml:space="preserve">de </w:t>
      </w:r>
      <w:r>
        <w:rPr>
          <w:szCs w:val="24"/>
        </w:rPr>
        <w:t>2019</w:t>
      </w:r>
    </w:p>
    <w:p w:rsidR="00161F2B" w:rsidRPr="00037C6A" w:rsidRDefault="00161F2B" w:rsidP="00161F2B">
      <w:pPr>
        <w:ind w:left="1080"/>
        <w:jc w:val="both"/>
        <w:rPr>
          <w:b/>
          <w:szCs w:val="24"/>
        </w:rPr>
      </w:pPr>
    </w:p>
    <w:p w:rsidR="00161F2B" w:rsidRPr="00037C6A" w:rsidRDefault="00161F2B" w:rsidP="00161F2B">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161F2B" w:rsidRPr="00037C6A" w:rsidRDefault="00161F2B" w:rsidP="00161F2B">
      <w:pPr>
        <w:tabs>
          <w:tab w:val="num" w:pos="0"/>
        </w:tabs>
        <w:jc w:val="both"/>
        <w:rPr>
          <w:szCs w:val="24"/>
        </w:rPr>
      </w:pPr>
    </w:p>
    <w:p w:rsidR="00161F2B" w:rsidRPr="00037C6A" w:rsidRDefault="00161F2B" w:rsidP="00161F2B">
      <w:pPr>
        <w:jc w:val="both"/>
        <w:rPr>
          <w:szCs w:val="24"/>
        </w:rPr>
      </w:pPr>
      <w:r>
        <w:rPr>
          <w:szCs w:val="24"/>
        </w:rPr>
        <w:t>A</w:t>
      </w:r>
      <w:r w:rsidRPr="00877ACE">
        <w:rPr>
          <w:szCs w:val="24"/>
        </w:rPr>
        <w:t xml:space="preserve">bril de 2014 </w:t>
      </w:r>
      <w:r w:rsidRPr="00037C6A">
        <w:rPr>
          <w:szCs w:val="24"/>
        </w:rPr>
        <w:t xml:space="preserve">a </w:t>
      </w:r>
      <w:r>
        <w:rPr>
          <w:szCs w:val="24"/>
        </w:rPr>
        <w:t xml:space="preserve">março </w:t>
      </w:r>
      <w:r w:rsidRPr="00037C6A">
        <w:rPr>
          <w:szCs w:val="24"/>
        </w:rPr>
        <w:t xml:space="preserve">de </w:t>
      </w:r>
      <w:r>
        <w:rPr>
          <w:szCs w:val="24"/>
        </w:rPr>
        <w:t>2019</w:t>
      </w:r>
      <w:r w:rsidRPr="00037C6A">
        <w:rPr>
          <w:szCs w:val="24"/>
        </w:rPr>
        <w:t>, dividido em cinco períodos, conforme especificado abaixo:</w:t>
      </w:r>
    </w:p>
    <w:p w:rsidR="00161F2B" w:rsidRPr="00037C6A" w:rsidRDefault="00161F2B" w:rsidP="00161F2B">
      <w:pPr>
        <w:tabs>
          <w:tab w:val="num" w:pos="0"/>
        </w:tabs>
        <w:jc w:val="both"/>
        <w:rPr>
          <w:szCs w:val="24"/>
        </w:rPr>
      </w:pPr>
    </w:p>
    <w:p w:rsidR="00161F2B" w:rsidRPr="00877ACE" w:rsidRDefault="00161F2B" w:rsidP="00161F2B">
      <w:pPr>
        <w:ind w:left="1080"/>
        <w:jc w:val="both"/>
        <w:rPr>
          <w:szCs w:val="24"/>
        </w:rPr>
      </w:pPr>
      <w:r w:rsidRPr="00037C6A">
        <w:rPr>
          <w:szCs w:val="24"/>
        </w:rPr>
        <w:t xml:space="preserve">P1 – </w:t>
      </w:r>
      <w:r w:rsidRPr="00877ACE">
        <w:rPr>
          <w:szCs w:val="24"/>
        </w:rPr>
        <w:t>abril de 2014 a março de 2015</w:t>
      </w:r>
    </w:p>
    <w:p w:rsidR="00161F2B" w:rsidRPr="00877ACE" w:rsidRDefault="00161F2B" w:rsidP="00161F2B">
      <w:pPr>
        <w:ind w:left="1080"/>
        <w:jc w:val="both"/>
        <w:rPr>
          <w:szCs w:val="24"/>
        </w:rPr>
      </w:pPr>
      <w:r w:rsidRPr="00877ACE">
        <w:rPr>
          <w:szCs w:val="24"/>
        </w:rPr>
        <w:t>P2 – abril de 2015</w:t>
      </w:r>
      <w:r w:rsidRPr="00877ACE" w:rsidDel="00F63D89">
        <w:rPr>
          <w:szCs w:val="24"/>
        </w:rPr>
        <w:t xml:space="preserve"> </w:t>
      </w:r>
      <w:r w:rsidRPr="00877ACE">
        <w:rPr>
          <w:szCs w:val="24"/>
        </w:rPr>
        <w:t>a março de 2016</w:t>
      </w:r>
    </w:p>
    <w:p w:rsidR="00161F2B" w:rsidRPr="00877ACE" w:rsidRDefault="00161F2B" w:rsidP="00161F2B">
      <w:pPr>
        <w:ind w:left="1080"/>
        <w:jc w:val="both"/>
        <w:rPr>
          <w:szCs w:val="24"/>
        </w:rPr>
      </w:pPr>
      <w:r w:rsidRPr="00877ACE">
        <w:rPr>
          <w:szCs w:val="24"/>
        </w:rPr>
        <w:t>P3 – abril de 2016</w:t>
      </w:r>
      <w:r w:rsidRPr="00877ACE" w:rsidDel="00F63D89">
        <w:rPr>
          <w:szCs w:val="24"/>
        </w:rPr>
        <w:t xml:space="preserve"> </w:t>
      </w:r>
      <w:r w:rsidRPr="00877ACE">
        <w:rPr>
          <w:szCs w:val="24"/>
        </w:rPr>
        <w:t>a março de 2017</w:t>
      </w:r>
    </w:p>
    <w:p w:rsidR="00161F2B" w:rsidRPr="00877ACE" w:rsidRDefault="00161F2B" w:rsidP="00161F2B">
      <w:pPr>
        <w:ind w:left="1080"/>
        <w:jc w:val="both"/>
        <w:rPr>
          <w:szCs w:val="24"/>
        </w:rPr>
      </w:pPr>
      <w:r w:rsidRPr="00877ACE">
        <w:rPr>
          <w:szCs w:val="24"/>
        </w:rPr>
        <w:t>P4 – abril de 2017</w:t>
      </w:r>
      <w:r w:rsidRPr="00877ACE" w:rsidDel="00F63D89">
        <w:rPr>
          <w:szCs w:val="24"/>
        </w:rPr>
        <w:t xml:space="preserve"> </w:t>
      </w:r>
      <w:r w:rsidRPr="00877ACE">
        <w:rPr>
          <w:szCs w:val="24"/>
        </w:rPr>
        <w:t>a março de 2018</w:t>
      </w:r>
    </w:p>
    <w:p w:rsidR="00161F2B" w:rsidRDefault="00161F2B" w:rsidP="00161F2B">
      <w:pPr>
        <w:ind w:left="1080"/>
        <w:jc w:val="both"/>
        <w:rPr>
          <w:szCs w:val="24"/>
        </w:rPr>
      </w:pPr>
      <w:r w:rsidRPr="00877ACE">
        <w:rPr>
          <w:szCs w:val="24"/>
        </w:rPr>
        <w:t>P5 – abril de 2018</w:t>
      </w:r>
      <w:r w:rsidRPr="00877ACE" w:rsidDel="00F63D89">
        <w:rPr>
          <w:szCs w:val="24"/>
        </w:rPr>
        <w:t xml:space="preserve"> </w:t>
      </w:r>
      <w:r w:rsidRPr="00877ACE">
        <w:rPr>
          <w:szCs w:val="24"/>
        </w:rPr>
        <w:t>a março de 2019</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w:t>
      </w:r>
      <w:r w:rsidR="002E6C9D">
        <w:rPr>
          <w:szCs w:val="24"/>
        </w:rPr>
        <w:t xml:space="preserve"> porcelanato técnico</w:t>
      </w:r>
      <w:r w:rsidR="00307186" w:rsidRPr="00BA7B70">
        <w:rPr>
          <w:szCs w:val="24"/>
        </w:rPr>
        <w:t xml:space="preserve"> </w:t>
      </w:r>
      <w:proofErr w:type="gramStart"/>
      <w:r w:rsidRPr="00BA7B70">
        <w:rPr>
          <w:szCs w:val="24"/>
        </w:rPr>
        <w:t>importad</w:t>
      </w:r>
      <w:r w:rsidR="00A72A84" w:rsidRPr="00BA7B70">
        <w:rPr>
          <w:szCs w:val="24"/>
        </w:rPr>
        <w:t>o</w:t>
      </w:r>
      <w:r w:rsidR="00022691" w:rsidRPr="00BA7B70">
        <w:rPr>
          <w:szCs w:val="24"/>
        </w:rPr>
        <w:t>s</w:t>
      </w:r>
      <w:r w:rsidR="00307186" w:rsidRPr="00BA7B70">
        <w:rPr>
          <w:szCs w:val="24"/>
        </w:rPr>
        <w:t>(</w:t>
      </w:r>
      <w:proofErr w:type="gramEnd"/>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2E6C9D">
        <w:rPr>
          <w:szCs w:val="24"/>
        </w:rPr>
        <w:t xml:space="preserve"> porcelanato técnico</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2E6C9D">
        <w:rPr>
          <w:szCs w:val="24"/>
        </w:rPr>
        <w:t>porcelanato técnico</w:t>
      </w:r>
      <w:r w:rsidR="002E6C9D" w:rsidRPr="00BA7B70">
        <w:rPr>
          <w:color w:val="FF0000"/>
          <w:szCs w:val="24"/>
        </w:rPr>
        <w:t xml:space="preserve"> </w:t>
      </w:r>
      <w:proofErr w:type="gramStart"/>
      <w:r w:rsidR="00E53089" w:rsidRPr="00BA7B70">
        <w:t>importad</w:t>
      </w:r>
      <w:r w:rsidR="00A72A84" w:rsidRPr="00BA7B70">
        <w:t>o</w:t>
      </w:r>
      <w:r w:rsidR="001D0BCD" w:rsidRPr="00BA7B70">
        <w:t>(</w:t>
      </w:r>
      <w:proofErr w:type="gramEnd"/>
      <w:r w:rsidR="001D0BCD" w:rsidRPr="00BA7B70">
        <w:t>a)</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2E6C9D">
        <w:rPr>
          <w:szCs w:val="24"/>
        </w:rPr>
        <w:t>porcelanato técnico</w:t>
      </w:r>
      <w:r w:rsidR="002E6C9D" w:rsidRPr="00BA7B70">
        <w:rPr>
          <w:color w:val="FF0000"/>
          <w:szCs w:val="24"/>
        </w:rPr>
        <w:t xml:space="preserve"> </w:t>
      </w:r>
      <w:proofErr w:type="gramStart"/>
      <w:r w:rsidR="00A72A84" w:rsidRPr="00BA7B70">
        <w:t>importado</w:t>
      </w:r>
      <w:r w:rsidR="001D0BCD" w:rsidRPr="00BA7B70">
        <w:t>(</w:t>
      </w:r>
      <w:proofErr w:type="gramEnd"/>
      <w:r w:rsidR="001D0BCD" w:rsidRPr="00BA7B70">
        <w:t>a)</w:t>
      </w:r>
      <w:r w:rsidR="00A72A84" w:rsidRPr="00BA7B70">
        <w:t xml:space="preserve"> é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2E6C9D">
        <w:t xml:space="preserve"> </w:t>
      </w:r>
      <w:r w:rsidR="002E6C9D">
        <w:rPr>
          <w:szCs w:val="24"/>
        </w:rPr>
        <w:t>porcelanato técnico</w:t>
      </w:r>
      <w:r w:rsidR="002E6C9D" w:rsidRPr="00BA7B70">
        <w:rPr>
          <w:color w:val="FF0000"/>
          <w:szCs w:val="24"/>
        </w:rPr>
        <w:t xml:space="preserve"> </w:t>
      </w:r>
      <w:proofErr w:type="gramStart"/>
      <w:r w:rsidR="009D23F5" w:rsidRPr="00BA7B70">
        <w:t>importado(</w:t>
      </w:r>
      <w:proofErr w:type="gramEnd"/>
      <w:r w:rsidR="009D23F5" w:rsidRPr="00BA7B70">
        <w:t>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proofErr w:type="gramStart"/>
      <w:r w:rsidRPr="00BA7B70">
        <w:rPr>
          <w:szCs w:val="24"/>
        </w:rPr>
        <w:t>7</w:t>
      </w:r>
      <w:r w:rsidR="00EE1750" w:rsidRPr="00BA7B70">
        <w:rPr>
          <w:szCs w:val="24"/>
        </w:rPr>
        <w:t>.</w:t>
      </w:r>
      <w:r w:rsidR="00EE1750" w:rsidRPr="00BA7B70">
        <w:rPr>
          <w:szCs w:val="24"/>
        </w:rPr>
        <w:tab/>
        <w:t>Esclarecer</w:t>
      </w:r>
      <w:proofErr w:type="gramEnd"/>
      <w:r w:rsidR="00EE1750" w:rsidRPr="00BA7B70">
        <w:rPr>
          <w:szCs w:val="24"/>
        </w:rPr>
        <w:t xml:space="preserve"> a política comercial na aquisição </w:t>
      </w:r>
      <w:r w:rsidR="00AF0BD6" w:rsidRPr="00BA7B70">
        <w:rPr>
          <w:szCs w:val="24"/>
        </w:rPr>
        <w:t>de</w:t>
      </w:r>
      <w:r w:rsidR="0057600A" w:rsidRPr="00BA7B70">
        <w:t xml:space="preserve"> </w:t>
      </w:r>
      <w:r w:rsidR="002E6C9D">
        <w:rPr>
          <w:szCs w:val="24"/>
        </w:rPr>
        <w:t>porcelanato técnico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proofErr w:type="gramStart"/>
      <w:r w:rsidRPr="00BA7B70">
        <w:rPr>
          <w:szCs w:val="24"/>
        </w:rPr>
        <w:t>1</w:t>
      </w:r>
      <w:r w:rsidR="00BA4A1F" w:rsidRPr="00BA7B70">
        <w:rPr>
          <w:szCs w:val="24"/>
        </w:rPr>
        <w:t>1</w:t>
      </w:r>
      <w:r w:rsidRPr="00BA7B70">
        <w:rPr>
          <w:szCs w:val="24"/>
        </w:rPr>
        <w:t>.</w:t>
      </w:r>
      <w:r w:rsidRPr="00BA7B70">
        <w:rPr>
          <w:szCs w:val="24"/>
        </w:rPr>
        <w:tab/>
        <w:t>Preencher</w:t>
      </w:r>
      <w:proofErr w:type="gramEnd"/>
      <w:r w:rsidRPr="00BA7B70">
        <w:rPr>
          <w:szCs w:val="24"/>
        </w:rPr>
        <w:t xml:space="preserve">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F81F26">
        <w:rPr>
          <w:b/>
          <w:szCs w:val="24"/>
        </w:rPr>
        <w:t xml:space="preserve"> </w:t>
      </w:r>
      <w:r w:rsidR="00F81F26" w:rsidRPr="00F81F26">
        <w:rPr>
          <w:b/>
          <w:szCs w:val="24"/>
        </w:rPr>
        <w:t>abril de 2018 a março de 2019</w:t>
      </w:r>
      <w:r w:rsidR="00C90A1D" w:rsidRPr="00BA7B70">
        <w:rPr>
          <w:b/>
          <w:szCs w:val="24"/>
        </w:rPr>
        <w:t>,</w:t>
      </w:r>
      <w:r w:rsidR="00EE0F10" w:rsidRPr="00BA7B70">
        <w:rPr>
          <w:szCs w:val="24"/>
        </w:rPr>
        <w:t xml:space="preserve"> </w:t>
      </w:r>
      <w:r w:rsidRPr="00BA7B70">
        <w:rPr>
          <w:szCs w:val="24"/>
        </w:rPr>
        <w:t>de</w:t>
      </w:r>
      <w:r w:rsidR="004826FB">
        <w:rPr>
          <w:szCs w:val="24"/>
        </w:rPr>
        <w:t xml:space="preserve"> porcelanato técnico</w:t>
      </w:r>
      <w:r w:rsidR="00AF1B10" w:rsidRPr="00BA7B70">
        <w:rPr>
          <w:b/>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4826FB">
        <w:rPr>
          <w:szCs w:val="24"/>
        </w:rPr>
        <w:t xml:space="preserve"> </w:t>
      </w:r>
      <w:r w:rsidRPr="00BA7B70">
        <w:rPr>
          <w:szCs w:val="24"/>
        </w:rPr>
        <w:t>no ite</w:t>
      </w:r>
      <w:r w:rsidR="00022691" w:rsidRPr="00BA7B70">
        <w:rPr>
          <w:szCs w:val="24"/>
        </w:rPr>
        <w:t>m</w:t>
      </w:r>
      <w:r w:rsidR="004826FB">
        <w:rPr>
          <w:szCs w:val="24"/>
        </w:rPr>
        <w:t xml:space="preserve"> 6907.21.00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4826FB">
        <w:rPr>
          <w:bCs/>
          <w:szCs w:val="24"/>
        </w:rPr>
        <w:t>o</w:t>
      </w:r>
      <w:r w:rsidRPr="00BA7B70">
        <w:rPr>
          <w:bCs/>
          <w:szCs w:val="24"/>
        </w:rPr>
        <w:t xml:space="preserve"> </w:t>
      </w:r>
      <w:r w:rsidR="00AF0BD6" w:rsidRPr="00BA7B70">
        <w:rPr>
          <w:szCs w:val="24"/>
        </w:rPr>
        <w:t>d</w:t>
      </w:r>
      <w:r w:rsidR="004826FB">
        <w:rPr>
          <w:szCs w:val="24"/>
        </w:rPr>
        <w:t>a China</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A51573" w:rsidRDefault="00750696" w:rsidP="00F46AD7">
      <w:pPr>
        <w:pStyle w:val="PargrafodaLista"/>
        <w:numPr>
          <w:ilvl w:val="0"/>
          <w:numId w:val="3"/>
        </w:numPr>
        <w:ind w:right="-199"/>
        <w:jc w:val="both"/>
        <w:rPr>
          <w:szCs w:val="24"/>
        </w:rPr>
      </w:pPr>
      <w:r w:rsidRPr="00A51573">
        <w:rPr>
          <w:iCs/>
        </w:rPr>
        <w:t xml:space="preserve">O código a ser informado no </w:t>
      </w:r>
      <w:r w:rsidR="00724847" w:rsidRPr="00A51573">
        <w:rPr>
          <w:iCs/>
        </w:rPr>
        <w:t>campo</w:t>
      </w:r>
      <w:r w:rsidRPr="00A51573">
        <w:rPr>
          <w:iCs/>
        </w:rPr>
        <w:t xml:space="preserve"> n</w:t>
      </w:r>
      <w:r w:rsidRPr="00A51573">
        <w:rPr>
          <w:iCs/>
          <w:u w:val="single"/>
          <w:vertAlign w:val="superscript"/>
        </w:rPr>
        <w:t>o</w:t>
      </w:r>
      <w:r w:rsidR="004B5BB7" w:rsidRPr="00A51573">
        <w:rPr>
          <w:iCs/>
        </w:rPr>
        <w:t xml:space="preserve"> </w:t>
      </w:r>
      <w:r w:rsidR="003C3068" w:rsidRPr="00A51573">
        <w:rPr>
          <w:iCs/>
        </w:rPr>
        <w:t>39</w:t>
      </w:r>
      <w:r w:rsidRPr="00A51573">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Default="00997A8F" w:rsidP="00750696">
      <w:pPr>
        <w:ind w:right="-199"/>
        <w:rPr>
          <w:b/>
          <w:szCs w:val="24"/>
        </w:rPr>
      </w:pPr>
    </w:p>
    <w:p w:rsidR="00A51573" w:rsidRDefault="00F87D1B" w:rsidP="00A51573">
      <w:pPr>
        <w:pStyle w:val="Ttulo3"/>
        <w:jc w:val="left"/>
        <w:rPr>
          <w:b w:val="0"/>
          <w:szCs w:val="24"/>
        </w:rPr>
      </w:pPr>
      <w:r w:rsidRPr="00C00858">
        <w:rPr>
          <w:bCs/>
        </w:rPr>
        <w:t xml:space="preserve"> </w:t>
      </w:r>
      <w:proofErr w:type="spellStart"/>
      <w:r w:rsidR="00A51573" w:rsidRPr="00300863">
        <w:rPr>
          <w:bCs/>
          <w:lang w:val="en-US"/>
        </w:rPr>
        <w:t>C</w:t>
      </w:r>
      <w:r w:rsidR="00A51573">
        <w:rPr>
          <w:bCs/>
          <w:lang w:val="en-US"/>
        </w:rPr>
        <w:t>aracterística</w:t>
      </w:r>
      <w:proofErr w:type="spellEnd"/>
      <w:r w:rsidR="00A51573">
        <w:rPr>
          <w:bCs/>
          <w:lang w:val="en-US"/>
        </w:rPr>
        <w:t xml:space="preserve"> </w:t>
      </w:r>
      <w:r w:rsidR="00A51573" w:rsidRPr="00300863">
        <w:rPr>
          <w:szCs w:val="24"/>
        </w:rPr>
        <w:t xml:space="preserve">1: </w:t>
      </w:r>
      <w:r w:rsidR="00A51573">
        <w:rPr>
          <w:szCs w:val="24"/>
        </w:rPr>
        <w:t>Formato</w:t>
      </w:r>
    </w:p>
    <w:tbl>
      <w:tblPr>
        <w:tblW w:w="9796" w:type="dxa"/>
        <w:tblInd w:w="55" w:type="dxa"/>
        <w:tblCellMar>
          <w:left w:w="70" w:type="dxa"/>
          <w:right w:w="70" w:type="dxa"/>
        </w:tblCellMar>
        <w:tblLook w:val="04A0" w:firstRow="1" w:lastRow="0" w:firstColumn="1" w:lastColumn="0" w:noHBand="0" w:noVBand="1"/>
      </w:tblPr>
      <w:tblGrid>
        <w:gridCol w:w="8379"/>
        <w:gridCol w:w="1417"/>
      </w:tblGrid>
      <w:tr w:rsidR="00A51573" w:rsidRPr="00300863" w:rsidTr="00F87D1B">
        <w:trPr>
          <w:trHeight w:val="50"/>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51573" w:rsidRPr="00300863" w:rsidRDefault="00A51573" w:rsidP="008142C9">
            <w:pPr>
              <w:rPr>
                <w:b/>
                <w:bCs/>
                <w:szCs w:val="24"/>
              </w:rPr>
            </w:pPr>
            <w:proofErr w:type="spellStart"/>
            <w:r>
              <w:rPr>
                <w:b/>
                <w:bCs/>
                <w:lang w:val="en-US"/>
              </w:rPr>
              <w:t>Especificação</w:t>
            </w:r>
            <w:proofErr w:type="spellEnd"/>
          </w:p>
        </w:tc>
        <w:tc>
          <w:tcPr>
            <w:tcW w:w="1417"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51573" w:rsidRPr="00300863" w:rsidRDefault="00A51573" w:rsidP="008142C9">
            <w:pPr>
              <w:jc w:val="center"/>
              <w:rPr>
                <w:b/>
                <w:bCs/>
                <w:szCs w:val="24"/>
              </w:rPr>
            </w:pPr>
            <w:r w:rsidRPr="00300863">
              <w:rPr>
                <w:b/>
                <w:bCs/>
                <w:szCs w:val="24"/>
                <w:lang w:val="en-US"/>
              </w:rPr>
              <w:t>C</w:t>
            </w:r>
            <w:r>
              <w:rPr>
                <w:b/>
                <w:bCs/>
                <w:szCs w:val="24"/>
                <w:lang w:val="en-US"/>
              </w:rPr>
              <w:t>ódigo</w:t>
            </w:r>
          </w:p>
        </w:tc>
      </w:tr>
      <w:tr w:rsidR="00A51573" w:rsidRPr="00300863"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rPr>
                <w:bCs/>
                <w:szCs w:val="24"/>
              </w:rPr>
            </w:pPr>
            <w:r w:rsidRPr="00300863">
              <w:rPr>
                <w:szCs w:val="24"/>
              </w:rPr>
              <w:t>Porcelanato técnico com maior lado de até 59 cm</w:t>
            </w:r>
          </w:p>
        </w:tc>
        <w:tc>
          <w:tcPr>
            <w:tcW w:w="1417"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jc w:val="center"/>
              <w:rPr>
                <w:szCs w:val="24"/>
              </w:rPr>
            </w:pPr>
            <w:r w:rsidRPr="00300863">
              <w:rPr>
                <w:szCs w:val="24"/>
              </w:rPr>
              <w:t>F1</w:t>
            </w:r>
          </w:p>
        </w:tc>
      </w:tr>
      <w:tr w:rsidR="00A51573" w:rsidRPr="00C67D59"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A51573" w:rsidRPr="00C67D59" w:rsidRDefault="00A51573" w:rsidP="008142C9">
            <w:pPr>
              <w:rPr>
                <w:szCs w:val="24"/>
              </w:rPr>
            </w:pPr>
            <w:r w:rsidRPr="00C67D59">
              <w:rPr>
                <w:iCs/>
                <w:szCs w:val="24"/>
              </w:rPr>
              <w:t>Porcelanato técnico com maior lado igual ou maior que 60 cm, mas inferior a 69 cm</w:t>
            </w:r>
          </w:p>
        </w:tc>
        <w:tc>
          <w:tcPr>
            <w:tcW w:w="1417"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C67D59" w:rsidRDefault="00A51573" w:rsidP="008142C9">
            <w:pPr>
              <w:jc w:val="center"/>
              <w:rPr>
                <w:szCs w:val="24"/>
              </w:rPr>
            </w:pPr>
            <w:r w:rsidRPr="00C67D59">
              <w:rPr>
                <w:szCs w:val="24"/>
              </w:rPr>
              <w:t>F2</w:t>
            </w:r>
          </w:p>
        </w:tc>
      </w:tr>
      <w:tr w:rsidR="00A51573" w:rsidRPr="00300863"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A51573" w:rsidRPr="00300863" w:rsidRDefault="00A51573" w:rsidP="008142C9">
            <w:pPr>
              <w:rPr>
                <w:szCs w:val="24"/>
              </w:rPr>
            </w:pPr>
            <w:r w:rsidRPr="00300863">
              <w:rPr>
                <w:szCs w:val="24"/>
              </w:rPr>
              <w:t>Porcelanato técnico com maior lado igual ou maior que 70 cm, mas inferior a 79 cm</w:t>
            </w:r>
          </w:p>
        </w:tc>
        <w:tc>
          <w:tcPr>
            <w:tcW w:w="1417"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jc w:val="center"/>
              <w:rPr>
                <w:szCs w:val="24"/>
              </w:rPr>
            </w:pPr>
            <w:r w:rsidRPr="00300863">
              <w:rPr>
                <w:szCs w:val="24"/>
              </w:rPr>
              <w:t>F3</w:t>
            </w:r>
          </w:p>
        </w:tc>
      </w:tr>
      <w:tr w:rsidR="00A51573" w:rsidRPr="00300863"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A51573" w:rsidRPr="00300863" w:rsidRDefault="00A51573" w:rsidP="008142C9">
            <w:pPr>
              <w:rPr>
                <w:szCs w:val="24"/>
              </w:rPr>
            </w:pPr>
            <w:r w:rsidRPr="00300863">
              <w:rPr>
                <w:szCs w:val="24"/>
              </w:rPr>
              <w:t>Porcelanato técnico com maior lado igual ou maior que 80 cm, mas inferior a 89 cm</w:t>
            </w:r>
          </w:p>
        </w:tc>
        <w:tc>
          <w:tcPr>
            <w:tcW w:w="1417"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jc w:val="center"/>
              <w:rPr>
                <w:szCs w:val="24"/>
              </w:rPr>
            </w:pPr>
            <w:r w:rsidRPr="00300863">
              <w:rPr>
                <w:szCs w:val="24"/>
              </w:rPr>
              <w:t>F4</w:t>
            </w:r>
          </w:p>
        </w:tc>
      </w:tr>
      <w:tr w:rsidR="00A51573" w:rsidRPr="00300863"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A51573" w:rsidRPr="00300863" w:rsidRDefault="00A51573" w:rsidP="008142C9">
            <w:pPr>
              <w:rPr>
                <w:szCs w:val="24"/>
              </w:rPr>
            </w:pPr>
            <w:r w:rsidRPr="00300863">
              <w:rPr>
                <w:szCs w:val="24"/>
              </w:rPr>
              <w:t>Porcelanato técnico com maior lado igual ou superior a 90 cm</w:t>
            </w:r>
          </w:p>
        </w:tc>
        <w:tc>
          <w:tcPr>
            <w:tcW w:w="1417"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jc w:val="center"/>
              <w:rPr>
                <w:szCs w:val="24"/>
              </w:rPr>
            </w:pPr>
            <w:r w:rsidRPr="00300863">
              <w:rPr>
                <w:szCs w:val="24"/>
              </w:rPr>
              <w:t>F5</w:t>
            </w:r>
          </w:p>
        </w:tc>
      </w:tr>
    </w:tbl>
    <w:p w:rsidR="00A51573" w:rsidRPr="00300863" w:rsidRDefault="00A51573" w:rsidP="00A51573">
      <w:pPr>
        <w:jc w:val="both"/>
        <w:rPr>
          <w:szCs w:val="24"/>
          <w:lang w:val="en-US"/>
        </w:rPr>
      </w:pPr>
    </w:p>
    <w:p w:rsidR="00A51573" w:rsidRDefault="00A51573" w:rsidP="00F87D1B">
      <w:pPr>
        <w:pStyle w:val="Ttulo3"/>
        <w:pBdr>
          <w:left w:val="single" w:sz="6" w:space="0" w:color="auto"/>
        </w:pBdr>
        <w:jc w:val="left"/>
        <w:rPr>
          <w:bCs/>
          <w:szCs w:val="24"/>
        </w:rPr>
      </w:pPr>
      <w:proofErr w:type="spellStart"/>
      <w:r w:rsidRPr="00300863">
        <w:rPr>
          <w:bCs/>
          <w:szCs w:val="24"/>
          <w:lang w:val="en-US"/>
        </w:rPr>
        <w:t>Característica</w:t>
      </w:r>
      <w:proofErr w:type="spellEnd"/>
      <w:r w:rsidRPr="00300863">
        <w:rPr>
          <w:bCs/>
          <w:szCs w:val="24"/>
        </w:rPr>
        <w:t xml:space="preserve"> </w:t>
      </w:r>
      <w:r w:rsidRPr="00300863">
        <w:rPr>
          <w:szCs w:val="24"/>
        </w:rPr>
        <w:t xml:space="preserve">2: </w:t>
      </w:r>
      <w:r w:rsidRPr="00351870">
        <w:rPr>
          <w:bCs/>
          <w:szCs w:val="24"/>
        </w:rPr>
        <w:t>Tipo</w:t>
      </w:r>
      <w:r w:rsidRPr="00300863">
        <w:rPr>
          <w:bCs/>
          <w:szCs w:val="24"/>
        </w:rPr>
        <w:t xml:space="preserve"> </w:t>
      </w:r>
    </w:p>
    <w:tbl>
      <w:tblPr>
        <w:tblW w:w="9796" w:type="dxa"/>
        <w:tblInd w:w="55" w:type="dxa"/>
        <w:tblLayout w:type="fixed"/>
        <w:tblCellMar>
          <w:left w:w="70" w:type="dxa"/>
          <w:right w:w="70" w:type="dxa"/>
        </w:tblCellMar>
        <w:tblLook w:val="04A0" w:firstRow="1" w:lastRow="0" w:firstColumn="1" w:lastColumn="0" w:noHBand="0" w:noVBand="1"/>
      </w:tblPr>
      <w:tblGrid>
        <w:gridCol w:w="8379"/>
        <w:gridCol w:w="1417"/>
      </w:tblGrid>
      <w:tr w:rsidR="00A51573" w:rsidRPr="00300863" w:rsidTr="00F87D1B">
        <w:trPr>
          <w:trHeight w:val="315"/>
          <w:tblHeader/>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51573" w:rsidRPr="00300863" w:rsidRDefault="00A51573" w:rsidP="008142C9">
            <w:pPr>
              <w:rPr>
                <w:b/>
                <w:bCs/>
                <w:szCs w:val="24"/>
              </w:rPr>
            </w:pPr>
            <w:r w:rsidRPr="00300863">
              <w:rPr>
                <w:b/>
                <w:bCs/>
                <w:szCs w:val="24"/>
              </w:rPr>
              <w:t>Tipo</w:t>
            </w:r>
          </w:p>
        </w:tc>
        <w:tc>
          <w:tcPr>
            <w:tcW w:w="1417" w:type="dxa"/>
            <w:tcBorders>
              <w:top w:val="single" w:sz="12" w:space="0" w:color="auto"/>
              <w:left w:val="single" w:sz="12" w:space="0" w:color="auto"/>
              <w:bottom w:val="single" w:sz="12" w:space="0" w:color="auto"/>
              <w:right w:val="single" w:sz="12" w:space="0" w:color="auto"/>
            </w:tcBorders>
            <w:vAlign w:val="bottom"/>
          </w:tcPr>
          <w:p w:rsidR="00A51573" w:rsidRPr="00300863" w:rsidRDefault="00A51573" w:rsidP="008142C9">
            <w:pPr>
              <w:jc w:val="center"/>
              <w:rPr>
                <w:b/>
                <w:bCs/>
                <w:szCs w:val="24"/>
              </w:rPr>
            </w:pPr>
            <w:r w:rsidRPr="00300863">
              <w:rPr>
                <w:b/>
                <w:bCs/>
                <w:szCs w:val="24"/>
              </w:rPr>
              <w:t>Código</w:t>
            </w:r>
          </w:p>
        </w:tc>
      </w:tr>
      <w:tr w:rsidR="00A51573" w:rsidRPr="00300863" w:rsidTr="00F87D1B">
        <w:trPr>
          <w:trHeight w:val="315"/>
        </w:trPr>
        <w:tc>
          <w:tcPr>
            <w:tcW w:w="8379"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rPr>
                <w:bCs/>
                <w:szCs w:val="24"/>
              </w:rPr>
            </w:pPr>
            <w:r w:rsidRPr="00300863">
              <w:rPr>
                <w:szCs w:val="24"/>
              </w:rPr>
              <w:t>Porcelanato técnico natural</w:t>
            </w:r>
          </w:p>
        </w:tc>
        <w:tc>
          <w:tcPr>
            <w:tcW w:w="1417" w:type="dxa"/>
            <w:tcBorders>
              <w:top w:val="single" w:sz="12" w:space="0" w:color="auto"/>
              <w:left w:val="single" w:sz="12" w:space="0" w:color="auto"/>
              <w:bottom w:val="single" w:sz="8" w:space="0" w:color="auto"/>
              <w:right w:val="single" w:sz="12" w:space="0" w:color="auto"/>
            </w:tcBorders>
            <w:vAlign w:val="bottom"/>
          </w:tcPr>
          <w:p w:rsidR="00A51573" w:rsidRPr="00300863" w:rsidRDefault="00A51573" w:rsidP="008142C9">
            <w:pPr>
              <w:jc w:val="center"/>
              <w:rPr>
                <w:bCs/>
                <w:szCs w:val="24"/>
              </w:rPr>
            </w:pPr>
            <w:r w:rsidRPr="00300863">
              <w:rPr>
                <w:bCs/>
                <w:szCs w:val="24"/>
              </w:rPr>
              <w:t>T1</w:t>
            </w:r>
          </w:p>
        </w:tc>
      </w:tr>
      <w:tr w:rsidR="00A51573" w:rsidRPr="00300863" w:rsidTr="00F87D1B">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A51573" w:rsidRPr="00300863" w:rsidRDefault="00A51573" w:rsidP="008142C9">
            <w:pPr>
              <w:rPr>
                <w:bCs/>
                <w:szCs w:val="24"/>
              </w:rPr>
            </w:pPr>
            <w:r w:rsidRPr="00300863">
              <w:rPr>
                <w:szCs w:val="24"/>
              </w:rPr>
              <w:t>Porcelanato técnico polido</w:t>
            </w:r>
          </w:p>
        </w:tc>
        <w:tc>
          <w:tcPr>
            <w:tcW w:w="1417" w:type="dxa"/>
            <w:tcBorders>
              <w:top w:val="nil"/>
              <w:left w:val="single" w:sz="12" w:space="0" w:color="auto"/>
              <w:bottom w:val="single" w:sz="8" w:space="0" w:color="auto"/>
              <w:right w:val="single" w:sz="12" w:space="0" w:color="auto"/>
            </w:tcBorders>
            <w:vAlign w:val="bottom"/>
          </w:tcPr>
          <w:p w:rsidR="00A51573" w:rsidRPr="00300863" w:rsidRDefault="00A51573" w:rsidP="008142C9">
            <w:pPr>
              <w:jc w:val="center"/>
              <w:rPr>
                <w:bCs/>
                <w:szCs w:val="24"/>
              </w:rPr>
            </w:pPr>
            <w:r w:rsidRPr="00300863">
              <w:rPr>
                <w:bCs/>
                <w:szCs w:val="24"/>
              </w:rPr>
              <w:t>T2</w:t>
            </w:r>
          </w:p>
        </w:tc>
      </w:tr>
    </w:tbl>
    <w:p w:rsidR="00A51573" w:rsidRDefault="00DB71D1" w:rsidP="003637BF">
      <w:pPr>
        <w:jc w:val="both"/>
        <w:rPr>
          <w:color w:val="FF0000"/>
          <w:szCs w:val="24"/>
        </w:rPr>
      </w:pPr>
      <w:r w:rsidRPr="00836227">
        <w:rPr>
          <w:color w:val="FF0000"/>
          <w:szCs w:val="24"/>
        </w:rPr>
        <w:t xml:space="preserve">          </w:t>
      </w:r>
      <w:r w:rsidR="00836227" w:rsidRPr="00836227">
        <w:rPr>
          <w:color w:val="FF0000"/>
          <w:szCs w:val="24"/>
        </w:rPr>
        <w:t xml:space="preserve"> </w:t>
      </w:r>
    </w:p>
    <w:p w:rsidR="003637BF" w:rsidRPr="00A51573" w:rsidRDefault="003637BF" w:rsidP="003637BF">
      <w:pPr>
        <w:jc w:val="both"/>
        <w:rPr>
          <w:szCs w:val="24"/>
        </w:rPr>
      </w:pPr>
      <w:r w:rsidRPr="00A51573">
        <w:rPr>
          <w:szCs w:val="24"/>
        </w:rPr>
        <w:t xml:space="preserve">Exemplo de formulação do CODIP: </w:t>
      </w:r>
      <w:bookmarkStart w:id="3" w:name="_GoBack"/>
      <w:bookmarkEnd w:id="3"/>
      <w:r w:rsidRPr="00A51573">
        <w:rPr>
          <w:szCs w:val="24"/>
        </w:rPr>
        <w:t>Produto característica 1 (</w:t>
      </w:r>
      <w:r w:rsidR="00A51573" w:rsidRPr="00A51573">
        <w:rPr>
          <w:szCs w:val="24"/>
        </w:rPr>
        <w:t xml:space="preserve">formato: porcelanato técnico com maior lado igual ou maior que 70 cm, mas inferior a 79 cm </w:t>
      </w:r>
      <w:r w:rsidRPr="00A51573">
        <w:rPr>
          <w:szCs w:val="24"/>
        </w:rPr>
        <w:t>); característica 2 (</w:t>
      </w:r>
      <w:r w:rsidR="00A51573" w:rsidRPr="00A51573">
        <w:rPr>
          <w:szCs w:val="24"/>
        </w:rPr>
        <w:t>tipo: polido)</w:t>
      </w:r>
      <w:r w:rsidRPr="00A51573">
        <w:rPr>
          <w:szCs w:val="24"/>
        </w:rPr>
        <w:t xml:space="preserve">: </w:t>
      </w:r>
      <w:r w:rsidR="00A51573" w:rsidRPr="00A51573">
        <w:rPr>
          <w:szCs w:val="24"/>
        </w:rPr>
        <w:t>F3T2.</w:t>
      </w:r>
    </w:p>
    <w:p w:rsidR="003637BF" w:rsidRDefault="003637BF" w:rsidP="004C2FAF">
      <w:pPr>
        <w:ind w:left="-142" w:right="-199"/>
        <w:jc w:val="both"/>
        <w:rPr>
          <w:szCs w:val="24"/>
        </w:rPr>
      </w:pPr>
    </w:p>
    <w:p w:rsidR="003C3068" w:rsidRDefault="003C3068" w:rsidP="004C2FAF">
      <w:pPr>
        <w:ind w:left="-142" w:right="-199"/>
        <w:jc w:val="both"/>
        <w:rPr>
          <w:szCs w:val="24"/>
        </w:rPr>
      </w:pPr>
    </w:p>
    <w:p w:rsidR="00997A8F" w:rsidRPr="00E90360" w:rsidRDefault="00997A8F" w:rsidP="00997A8F">
      <w:pPr>
        <w:pStyle w:val="Recuodecorpodetexto3"/>
        <w:ind w:left="-142" w:right="-199"/>
        <w:rPr>
          <w:b/>
          <w:szCs w:val="24"/>
        </w:rPr>
      </w:pPr>
      <w:r w:rsidRPr="00E90360">
        <w:rPr>
          <w:szCs w:val="24"/>
        </w:rPr>
        <w:t>13.</w:t>
      </w:r>
      <w:r w:rsidRPr="00E90360">
        <w:rPr>
          <w:szCs w:val="24"/>
        </w:rPr>
        <w:tab/>
        <w:t xml:space="preserve">Preencher o </w:t>
      </w:r>
      <w:r w:rsidRPr="00E90360">
        <w:rPr>
          <w:b/>
          <w:bCs/>
          <w:szCs w:val="24"/>
        </w:rPr>
        <w:t xml:space="preserve">Apêndice </w:t>
      </w:r>
      <w:r w:rsidR="006C0393" w:rsidRPr="00E90360">
        <w:rPr>
          <w:b/>
          <w:bCs/>
          <w:szCs w:val="24"/>
        </w:rPr>
        <w:t>I</w:t>
      </w:r>
      <w:r w:rsidRPr="00E90360">
        <w:rPr>
          <w:b/>
          <w:bCs/>
          <w:szCs w:val="24"/>
        </w:rPr>
        <w:t>II</w:t>
      </w:r>
      <w:r w:rsidRPr="00E90360">
        <w:rPr>
          <w:szCs w:val="24"/>
        </w:rPr>
        <w:t xml:space="preserve">, no caso desta empresa ter desembaraçado importações, </w:t>
      </w:r>
      <w:r w:rsidRPr="00E90360">
        <w:rPr>
          <w:b/>
          <w:szCs w:val="24"/>
        </w:rPr>
        <w:t>de</w:t>
      </w:r>
      <w:r w:rsidR="00232BA2" w:rsidRPr="00E90360">
        <w:rPr>
          <w:b/>
          <w:szCs w:val="24"/>
        </w:rPr>
        <w:t xml:space="preserve"> abril de 2014 a março de 2018</w:t>
      </w:r>
      <w:r w:rsidRPr="00E90360">
        <w:rPr>
          <w:b/>
          <w:szCs w:val="24"/>
        </w:rPr>
        <w:t>,</w:t>
      </w:r>
      <w:r w:rsidRPr="00E90360">
        <w:rPr>
          <w:szCs w:val="24"/>
        </w:rPr>
        <w:t xml:space="preserve"> de </w:t>
      </w:r>
      <w:r w:rsidR="00232BA2" w:rsidRPr="00E90360">
        <w:rPr>
          <w:szCs w:val="24"/>
        </w:rPr>
        <w:t>porcelanato técnico</w:t>
      </w:r>
      <w:r w:rsidRPr="00E90360">
        <w:rPr>
          <w:szCs w:val="24"/>
        </w:rPr>
        <w:t>, comumente classificado</w:t>
      </w:r>
      <w:r w:rsidR="00232BA2" w:rsidRPr="00E90360">
        <w:rPr>
          <w:szCs w:val="24"/>
        </w:rPr>
        <w:t xml:space="preserve"> </w:t>
      </w:r>
      <w:r w:rsidRPr="00E90360">
        <w:rPr>
          <w:szCs w:val="24"/>
        </w:rPr>
        <w:t>no item</w:t>
      </w:r>
      <w:r w:rsidR="00232BA2" w:rsidRPr="00E90360">
        <w:rPr>
          <w:szCs w:val="24"/>
        </w:rPr>
        <w:t xml:space="preserve"> 6907.21.00</w:t>
      </w:r>
      <w:r w:rsidRPr="00E90360">
        <w:rPr>
          <w:color w:val="FF0000"/>
          <w:szCs w:val="24"/>
        </w:rPr>
        <w:t xml:space="preserve"> </w:t>
      </w:r>
      <w:r w:rsidRPr="00E90360">
        <w:rPr>
          <w:szCs w:val="24"/>
        </w:rPr>
        <w:t xml:space="preserve">da NCM e </w:t>
      </w:r>
      <w:r w:rsidRPr="00E90360">
        <w:rPr>
          <w:bCs/>
          <w:szCs w:val="24"/>
        </w:rPr>
        <w:t>originári</w:t>
      </w:r>
      <w:r w:rsidR="00232BA2" w:rsidRPr="00E90360">
        <w:rPr>
          <w:bCs/>
          <w:szCs w:val="24"/>
        </w:rPr>
        <w:t xml:space="preserve">o </w:t>
      </w:r>
      <w:r w:rsidRPr="00E90360">
        <w:rPr>
          <w:szCs w:val="24"/>
        </w:rPr>
        <w:t>d</w:t>
      </w:r>
      <w:r w:rsidR="00232BA2" w:rsidRPr="00E90360">
        <w:rPr>
          <w:szCs w:val="24"/>
        </w:rPr>
        <w:t>a China</w:t>
      </w:r>
      <w:r w:rsidRPr="00E90360">
        <w:rPr>
          <w:b/>
          <w:szCs w:val="24"/>
        </w:rPr>
        <w:t>.</w:t>
      </w:r>
    </w:p>
    <w:p w:rsidR="00997A8F" w:rsidRPr="00E90360" w:rsidRDefault="00997A8F" w:rsidP="00997A8F">
      <w:pPr>
        <w:pStyle w:val="Recuodecorpodetexto3"/>
        <w:ind w:left="-142" w:right="-199"/>
        <w:rPr>
          <w:b/>
          <w:szCs w:val="24"/>
        </w:rPr>
      </w:pPr>
    </w:p>
    <w:p w:rsidR="004B5BB7" w:rsidRPr="00E90360" w:rsidRDefault="00997A8F" w:rsidP="004B5BB7">
      <w:pPr>
        <w:pStyle w:val="Recuodecorpodetexto3"/>
        <w:ind w:left="-142" w:right="-199"/>
        <w:rPr>
          <w:b/>
          <w:szCs w:val="24"/>
        </w:rPr>
      </w:pPr>
      <w:r w:rsidRPr="00E90360">
        <w:rPr>
          <w:szCs w:val="24"/>
        </w:rPr>
        <w:t>1</w:t>
      </w:r>
      <w:r w:rsidR="00546AC7" w:rsidRPr="00E90360">
        <w:rPr>
          <w:szCs w:val="24"/>
        </w:rPr>
        <w:t>4</w:t>
      </w:r>
      <w:r w:rsidRPr="00E90360">
        <w:rPr>
          <w:szCs w:val="24"/>
        </w:rPr>
        <w:t>.</w:t>
      </w:r>
      <w:r w:rsidRPr="00E90360">
        <w:rPr>
          <w:szCs w:val="24"/>
        </w:rPr>
        <w:tab/>
      </w:r>
      <w:r w:rsidR="004B5BB7" w:rsidRPr="00E90360">
        <w:rPr>
          <w:szCs w:val="24"/>
        </w:rPr>
        <w:t xml:space="preserve">O preenchimento dos campos do </w:t>
      </w:r>
      <w:r w:rsidR="004B5BB7" w:rsidRPr="00E90360">
        <w:rPr>
          <w:b/>
          <w:szCs w:val="24"/>
        </w:rPr>
        <w:t xml:space="preserve">Apêndice </w:t>
      </w:r>
      <w:r w:rsidR="006C0393" w:rsidRPr="00E90360">
        <w:rPr>
          <w:b/>
          <w:szCs w:val="24"/>
        </w:rPr>
        <w:t>I</w:t>
      </w:r>
      <w:r w:rsidR="00D93640" w:rsidRPr="00E90360">
        <w:rPr>
          <w:b/>
          <w:szCs w:val="24"/>
        </w:rPr>
        <w:t>I</w:t>
      </w:r>
      <w:r w:rsidR="004B5BB7" w:rsidRPr="00E90360">
        <w:rPr>
          <w:b/>
          <w:szCs w:val="24"/>
        </w:rPr>
        <w:t xml:space="preserve">I </w:t>
      </w:r>
      <w:r w:rsidR="004B5BB7" w:rsidRPr="00E90360">
        <w:rPr>
          <w:szCs w:val="24"/>
        </w:rPr>
        <w:t>deverá ser realizado em conformidade com as instruções abaixo</w:t>
      </w:r>
      <w:r w:rsidRPr="00E90360">
        <w:rPr>
          <w:b/>
          <w:szCs w:val="24"/>
        </w:rPr>
        <w:t>.</w:t>
      </w:r>
    </w:p>
    <w:p w:rsidR="004B5BB7" w:rsidRPr="00E90360" w:rsidRDefault="004B5BB7" w:rsidP="004B5BB7">
      <w:pPr>
        <w:pStyle w:val="Recuodecorpodetexto3"/>
        <w:ind w:left="-142" w:right="-199"/>
        <w:rPr>
          <w:szCs w:val="24"/>
        </w:rPr>
      </w:pPr>
    </w:p>
    <w:p w:rsidR="004B5BB7" w:rsidRPr="00E90360" w:rsidRDefault="00B80B46" w:rsidP="004B5BB7">
      <w:pPr>
        <w:pStyle w:val="Recuodecorpodetexto3"/>
        <w:numPr>
          <w:ilvl w:val="0"/>
          <w:numId w:val="4"/>
        </w:numPr>
        <w:ind w:right="-199"/>
        <w:rPr>
          <w:b/>
          <w:szCs w:val="24"/>
        </w:rPr>
      </w:pPr>
      <w:r w:rsidRPr="00E90360">
        <w:rPr>
          <w:szCs w:val="24"/>
        </w:rPr>
        <w:t>O</w:t>
      </w:r>
      <w:r w:rsidR="004B5BB7" w:rsidRPr="00E90360">
        <w:rPr>
          <w:szCs w:val="24"/>
        </w:rPr>
        <w:t xml:space="preserve">s campos </w:t>
      </w:r>
      <w:r w:rsidR="004B5BB7" w:rsidRPr="00E90360">
        <w:rPr>
          <w:iCs/>
        </w:rPr>
        <w:t>n</w:t>
      </w:r>
      <w:r w:rsidR="004B5BB7" w:rsidRPr="00E90360">
        <w:rPr>
          <w:iCs/>
          <w:u w:val="single"/>
          <w:vertAlign w:val="superscript"/>
        </w:rPr>
        <w:t>os</w:t>
      </w:r>
      <w:r w:rsidR="004B5BB7" w:rsidRPr="00E90360">
        <w:rPr>
          <w:iCs/>
        </w:rPr>
        <w:t xml:space="preserve"> 01 a 0</w:t>
      </w:r>
      <w:r w:rsidR="00D93640" w:rsidRPr="00E90360">
        <w:rPr>
          <w:iCs/>
        </w:rPr>
        <w:t>5</w:t>
      </w:r>
      <w:r w:rsidR="004B5BB7" w:rsidRPr="00E90360">
        <w:rPr>
          <w:iCs/>
        </w:rPr>
        <w:t xml:space="preserve"> deverão ser preenchidos de acordo com os documentos utilizados no desembaraço da mercadoria.</w:t>
      </w:r>
    </w:p>
    <w:p w:rsidR="004B5BB7" w:rsidRPr="00E90360" w:rsidRDefault="004B5BB7" w:rsidP="004B5BB7">
      <w:pPr>
        <w:pStyle w:val="Recuodecorpodetexto3"/>
        <w:ind w:right="-199"/>
        <w:rPr>
          <w:b/>
          <w:szCs w:val="24"/>
        </w:rPr>
      </w:pPr>
    </w:p>
    <w:p w:rsidR="004B5BB7" w:rsidRPr="00E90360" w:rsidRDefault="00B80B46" w:rsidP="004B5BB7">
      <w:pPr>
        <w:pStyle w:val="Recuodecorpodetexto3"/>
        <w:numPr>
          <w:ilvl w:val="0"/>
          <w:numId w:val="4"/>
        </w:numPr>
        <w:ind w:right="-199"/>
        <w:rPr>
          <w:b/>
          <w:szCs w:val="24"/>
        </w:rPr>
      </w:pPr>
      <w:r w:rsidRPr="00E90360">
        <w:rPr>
          <w:szCs w:val="24"/>
        </w:rPr>
        <w:t>O</w:t>
      </w:r>
      <w:r w:rsidR="004B5BB7" w:rsidRPr="00E90360">
        <w:rPr>
          <w:szCs w:val="24"/>
        </w:rPr>
        <w:t xml:space="preserve"> campo </w:t>
      </w:r>
      <w:r w:rsidR="004B5BB7" w:rsidRPr="00E90360">
        <w:rPr>
          <w:iCs/>
        </w:rPr>
        <w:t>n</w:t>
      </w:r>
      <w:r w:rsidR="004B5BB7" w:rsidRPr="00E90360">
        <w:rPr>
          <w:iCs/>
          <w:u w:val="single"/>
          <w:vertAlign w:val="superscript"/>
        </w:rPr>
        <w:t>o</w:t>
      </w:r>
      <w:r w:rsidR="004B5BB7" w:rsidRPr="00E90360">
        <w:rPr>
          <w:iCs/>
        </w:rPr>
        <w:t xml:space="preserve"> </w:t>
      </w:r>
      <w:r w:rsidR="00D93640" w:rsidRPr="00E90360">
        <w:rPr>
          <w:iCs/>
        </w:rPr>
        <w:t>06</w:t>
      </w:r>
      <w:r w:rsidR="004B5BB7" w:rsidRPr="00E90360">
        <w:rPr>
          <w:iCs/>
        </w:rPr>
        <w:t xml:space="preserve"> deve ser preenchido de acordo com a instrução “</w:t>
      </w:r>
      <w:r w:rsidRPr="00E90360">
        <w:rPr>
          <w:iCs/>
        </w:rPr>
        <w:t>c</w:t>
      </w:r>
      <w:r w:rsidR="004B5BB7" w:rsidRPr="00E90360">
        <w:rPr>
          <w:iCs/>
        </w:rPr>
        <w:t>” d</w:t>
      </w:r>
      <w:r w:rsidR="00D93640" w:rsidRPr="00E90360">
        <w:rPr>
          <w:iCs/>
        </w:rPr>
        <w:t xml:space="preserve">e preenchimento do </w:t>
      </w:r>
      <w:r w:rsidR="00D93640" w:rsidRPr="00E90360">
        <w:rPr>
          <w:b/>
          <w:iCs/>
        </w:rPr>
        <w:t>A</w:t>
      </w:r>
      <w:r w:rsidR="004B5BB7" w:rsidRPr="00E90360">
        <w:rPr>
          <w:b/>
          <w:iCs/>
        </w:rPr>
        <w:t xml:space="preserve">pêndice </w:t>
      </w:r>
      <w:r w:rsidR="006C0393" w:rsidRPr="00E90360">
        <w:rPr>
          <w:b/>
          <w:iCs/>
        </w:rPr>
        <w:t>I</w:t>
      </w:r>
      <w:r w:rsidR="004B5BB7" w:rsidRPr="00E90360">
        <w:rPr>
          <w:b/>
          <w:iCs/>
        </w:rPr>
        <w:t>I</w:t>
      </w:r>
      <w:r w:rsidR="004B5BB7" w:rsidRPr="00E90360">
        <w:rPr>
          <w:iCs/>
        </w:rPr>
        <w:t>.</w:t>
      </w:r>
    </w:p>
    <w:p w:rsidR="004B5BB7" w:rsidRPr="004B5BB7" w:rsidRDefault="004B5BB7" w:rsidP="004B5BB7">
      <w:pPr>
        <w:pStyle w:val="Recuodecorpodetexto3"/>
        <w:ind w:right="-199"/>
        <w:rPr>
          <w:b/>
          <w:szCs w:val="24"/>
        </w:rPr>
      </w:pPr>
    </w:p>
    <w:p w:rsidR="00BA4A1F" w:rsidRPr="00BA7B70" w:rsidRDefault="00BA4A1F" w:rsidP="00BD7518">
      <w:pPr>
        <w:pStyle w:val="Recuodecorpodetexto3"/>
        <w:ind w:left="-142" w:right="-198"/>
        <w:rPr>
          <w:szCs w:val="24"/>
        </w:rPr>
      </w:pPr>
      <w:proofErr w:type="gramStart"/>
      <w:r w:rsidRPr="00BA7B70">
        <w:rPr>
          <w:szCs w:val="24"/>
        </w:rPr>
        <w:t>1</w:t>
      </w:r>
      <w:r w:rsidR="00C00858">
        <w:rPr>
          <w:szCs w:val="24"/>
        </w:rPr>
        <w:t>5</w:t>
      </w:r>
      <w:r w:rsidRPr="00BA7B70">
        <w:rPr>
          <w:szCs w:val="24"/>
        </w:rPr>
        <w:t>.</w:t>
      </w:r>
      <w:r w:rsidRPr="00BA7B70">
        <w:rPr>
          <w:szCs w:val="24"/>
        </w:rPr>
        <w:tab/>
      </w:r>
      <w:r w:rsidRPr="00BA7B70">
        <w:t>No</w:t>
      </w:r>
      <w:proofErr w:type="gramEnd"/>
      <w:r w:rsidRPr="00BA7B70">
        <w:t xml:space="preserve">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02032F">
        <w:t>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D43A50">
        <w:t>abril de 2018 a março de 2019</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C00858">
        <w:rPr>
          <w:szCs w:val="24"/>
        </w:rPr>
        <w:t>6</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d</w:t>
      </w:r>
      <w:r w:rsidR="0002032F">
        <w:t>a China</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CE2608" w:rsidRDefault="00CE2608" w:rsidP="00CE2608">
      <w:pPr>
        <w:pStyle w:val="Recuodecorpodetexto3"/>
        <w:ind w:left="-142" w:right="-198"/>
        <w:rPr>
          <w:szCs w:val="24"/>
        </w:rPr>
      </w:pPr>
      <w:proofErr w:type="gramStart"/>
      <w:r w:rsidRPr="00BA7B70">
        <w:rPr>
          <w:szCs w:val="24"/>
        </w:rPr>
        <w:t>1</w:t>
      </w:r>
      <w:r w:rsidR="00C00858">
        <w:rPr>
          <w:szCs w:val="24"/>
        </w:rPr>
        <w:t>7</w:t>
      </w:r>
      <w:r w:rsidRPr="00BA7B70">
        <w:rPr>
          <w:szCs w:val="24"/>
        </w:rPr>
        <w:t>.</w:t>
      </w:r>
      <w:r w:rsidRPr="00BA7B70">
        <w:rPr>
          <w:szCs w:val="24"/>
        </w:rPr>
        <w:tab/>
        <w:t>As</w:t>
      </w:r>
      <w:proofErr w:type="gramEnd"/>
      <w:r w:rsidRPr="00BA7B70">
        <w:rPr>
          <w:szCs w:val="24"/>
        </w:rPr>
        <w:t xml:space="preserve">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C00858" w:rsidP="00BD7518">
      <w:pPr>
        <w:pStyle w:val="Recuodecorpodetexto3"/>
        <w:ind w:left="-142" w:right="-198"/>
        <w:rPr>
          <w:szCs w:val="24"/>
        </w:rPr>
      </w:pPr>
      <w:r>
        <w:rPr>
          <w:szCs w:val="24"/>
        </w:rPr>
        <w:t>18</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E90360" w:rsidRDefault="00344914" w:rsidP="00BD7518">
      <w:pPr>
        <w:pStyle w:val="Recuodecorpodetexto3"/>
        <w:ind w:left="-142" w:right="-198"/>
        <w:rPr>
          <w:b/>
          <w:szCs w:val="24"/>
        </w:rPr>
      </w:pPr>
      <w:r w:rsidRPr="00E90360">
        <w:rPr>
          <w:b/>
          <w:szCs w:val="24"/>
        </w:rPr>
        <w:t>Campo Nº 03.</w:t>
      </w:r>
      <w:r w:rsidR="00426320" w:rsidRPr="00E90360">
        <w:rPr>
          <w:b/>
          <w:szCs w:val="24"/>
        </w:rPr>
        <w:t>2</w:t>
      </w:r>
      <w:r w:rsidRPr="00E90360">
        <w:rPr>
          <w:b/>
          <w:szCs w:val="24"/>
        </w:rPr>
        <w:tab/>
      </w:r>
      <w:r w:rsidRPr="00E90360">
        <w:rPr>
          <w:b/>
          <w:szCs w:val="24"/>
        </w:rPr>
        <w:tab/>
        <w:t>Código de Identificação do Produto (CODIP)</w:t>
      </w:r>
    </w:p>
    <w:p w:rsidR="00344914" w:rsidRPr="00E90360" w:rsidRDefault="00862FD0" w:rsidP="00862FD0">
      <w:pPr>
        <w:pStyle w:val="Recuodecorpodetexto3"/>
        <w:ind w:left="2127" w:right="-198" w:hanging="2269"/>
        <w:rPr>
          <w:szCs w:val="24"/>
        </w:rPr>
      </w:pPr>
      <w:r w:rsidRPr="00E90360">
        <w:rPr>
          <w:szCs w:val="24"/>
        </w:rPr>
        <w:t>Observação:</w:t>
      </w:r>
      <w:r w:rsidRPr="00E90360">
        <w:rPr>
          <w:szCs w:val="24"/>
        </w:rPr>
        <w:tab/>
      </w:r>
      <w:r w:rsidR="00774BEB" w:rsidRPr="00E90360">
        <w:rPr>
          <w:szCs w:val="24"/>
        </w:rPr>
        <w:t>Informar o código de acordo com o especificado no item “</w:t>
      </w:r>
      <w:r w:rsidR="00E24366" w:rsidRPr="00E90360">
        <w:rPr>
          <w:szCs w:val="24"/>
        </w:rPr>
        <w:t>c</w:t>
      </w:r>
      <w:r w:rsidR="00774BEB" w:rsidRPr="00E90360">
        <w:rPr>
          <w:szCs w:val="24"/>
        </w:rPr>
        <w:t xml:space="preserve">” das instruções de preenchimento do Apêndice </w:t>
      </w:r>
      <w:r w:rsidR="006C0393" w:rsidRPr="00E90360">
        <w:rPr>
          <w:szCs w:val="24"/>
        </w:rPr>
        <w:t>I</w:t>
      </w:r>
      <w:r w:rsidR="00774BEB" w:rsidRPr="00E90360">
        <w:rPr>
          <w:szCs w:val="24"/>
        </w:rPr>
        <w:t>I.</w:t>
      </w:r>
      <w:r w:rsidR="00E24366" w:rsidRPr="00E90360">
        <w:rPr>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lastRenderedPageBreak/>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0002032F">
        <w:rPr>
          <w:b/>
          <w:szCs w:val="24"/>
        </w:rPr>
        <w:t>metro quadrado</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02032F">
        <w:rPr>
          <w:szCs w:val="24"/>
        </w:rPr>
        <w:t>m2</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lastRenderedPageBreak/>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xml:space="preserve">, utilizar a taxa de um banco comercial para empréstimos de </w:t>
      </w:r>
      <w:r w:rsidR="0090688E" w:rsidRPr="00DC395B">
        <w:rPr>
          <w:szCs w:val="24"/>
        </w:rPr>
        <w:lastRenderedPageBreak/>
        <w:t>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599" w:rsidRDefault="00A26599">
      <w:r>
        <w:separator/>
      </w:r>
    </w:p>
  </w:endnote>
  <w:endnote w:type="continuationSeparator" w:id="0">
    <w:p w:rsidR="00A26599" w:rsidRDefault="00A2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42B19">
      <w:rPr>
        <w:rStyle w:val="Nmerodepgina"/>
        <w:noProof/>
      </w:rPr>
      <w:t>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599" w:rsidRDefault="00A26599">
      <w:r>
        <w:separator/>
      </w:r>
    </w:p>
  </w:footnote>
  <w:footnote w:type="continuationSeparator" w:id="0">
    <w:p w:rsidR="00A26599" w:rsidRDefault="00A26599">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032F"/>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1F2B"/>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2BA2"/>
    <w:rsid w:val="00234720"/>
    <w:rsid w:val="00234FFC"/>
    <w:rsid w:val="00235005"/>
    <w:rsid w:val="002410A5"/>
    <w:rsid w:val="00241A5B"/>
    <w:rsid w:val="0024279E"/>
    <w:rsid w:val="00242AAE"/>
    <w:rsid w:val="002449AC"/>
    <w:rsid w:val="00252E0B"/>
    <w:rsid w:val="00255776"/>
    <w:rsid w:val="00255885"/>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E6C9D"/>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D05"/>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26FB"/>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1A7F"/>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0357C"/>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2B19"/>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C672C"/>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1573"/>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0858"/>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1759"/>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3A50"/>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360"/>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1F26"/>
    <w:rsid w:val="00F8333D"/>
    <w:rsid w:val="00F853D8"/>
    <w:rsid w:val="00F87AC9"/>
    <w:rsid w:val="00F87D1B"/>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36806"/>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232B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rcelanatorev@mdic.gov.br" TargetMode="Externa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D6A6A-EF88-4476-A432-CCD14933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3365</Words>
  <Characters>18174</Characters>
  <Application>Microsoft Office Word</Application>
  <DocSecurity>2</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21497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Zahra Faheina Gadelha</cp:lastModifiedBy>
  <cp:revision>22</cp:revision>
  <cp:lastPrinted>2016-05-02T13:35:00Z</cp:lastPrinted>
  <dcterms:created xsi:type="dcterms:W3CDTF">2016-07-13T14:55:00Z</dcterms:created>
  <dcterms:modified xsi:type="dcterms:W3CDTF">2019-12-23T17:47:00Z</dcterms:modified>
</cp:coreProperties>
</file>